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/>
        <w:spacing w:lineRule="auto" w:line="360" w:before="57" w:after="57"/>
        <w:ind w:left="0" w:right="0" w:hanging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DECLARAÇÃO 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NEGATIVA DE ENQUADRAMENTO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 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–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 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Art. 10, § 6º, da Lei Federal nº 14.903, de 2024.</w:t>
      </w:r>
    </w:p>
    <w:p>
      <w:pPr>
        <w:pStyle w:val="Corpodotexto"/>
        <w:bidi w:val="0"/>
        <w:spacing w:lineRule="auto" w:line="276" w:before="57" w:after="57"/>
        <w:ind w:left="0" w:right="0" w:hanging="0"/>
        <w:jc w:val="left"/>
        <w:rPr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1533" w:hRule="atLeast"/>
        </w:trPr>
        <w:tc>
          <w:tcPr>
            <w:tcW w:w="9638" w:type="dxa"/>
            <w:tcBorders/>
            <w:shd w:fill="EEEEEE" w:val="clear"/>
          </w:tcPr>
          <w:p>
            <w:pPr>
              <w:pStyle w:val="Corpodotexto"/>
              <w:widowControl w:val="false"/>
              <w:spacing w:lineRule="auto" w:line="276" w:before="57" w:after="57"/>
              <w:ind w:left="113" w:right="113" w:hanging="0"/>
              <w:jc w:val="left"/>
              <w:rPr/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ORIENTAÇÕES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:</w:t>
            </w:r>
          </w:p>
          <w:p>
            <w:pPr>
              <w:pStyle w:val="Corpodotexto"/>
              <w:widowControl w:val="false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1.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Esta declaração deve ser assinada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representante do Grupo de Câmara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.</w:t>
            </w:r>
          </w:p>
          <w:p>
            <w:pPr>
              <w:pStyle w:val="Corpodotexto"/>
              <w:widowControl w:val="false"/>
              <w:spacing w:lineRule="auto" w:line="276" w:before="57" w:after="57"/>
              <w:ind w:left="113" w:right="113" w:hanging="0"/>
              <w:jc w:val="both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2.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Substitua os termos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marcados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pelas informações solicitadas.</w:t>
            </w:r>
          </w:p>
          <w:p>
            <w:pPr>
              <w:pStyle w:val="Corpodotexto"/>
              <w:widowControl w:val="false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3.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O documento pode ser assinado digitalmente,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via GOV.BR, por exemplo, ou ser impresso, assinado e digitalizado em formato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ou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únicos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.</w:t>
            </w:r>
          </w:p>
        </w:tc>
      </w:tr>
    </w:tbl>
    <w:p>
      <w:pPr>
        <w:pStyle w:val="Corpodotexto"/>
        <w:spacing w:lineRule="auto" w:line="360" w:before="57" w:after="0"/>
        <w:ind w:right="113" w:hanging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PROJETO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SEGUNDA MUSICAL –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2026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DECLARAÇÃO NEGATIVA DE ENQUADRAMENTO –</w:t>
            </w:r>
            <w:r>
              <w:rPr>
                <w:rFonts w:ascii="Calibri" w:hAnsi="Calibri"/>
                <w:b/>
                <w:color w:val="ECF0F1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ECF0F1"/>
                <w:sz w:val="18"/>
                <w:szCs w:val="18"/>
              </w:rPr>
              <w:t>Art. 10, § 6º, da Lei Federal nº 14.903, de 2024.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Eu,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nome completo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nacionalidade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estado civil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residente e domiciliado (a) em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rua/avenida/etc., número, complemento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bairro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cidade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estado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,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 CEP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portador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(a)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 do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RG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CPF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,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neste ato representando o grupo de câmara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nome do grupo de câmara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,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identificado sob o protocolo de inscrição nº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 de inscrição no processo seletivo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>,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atesto que não há, entre os integrantes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do grupo que represento,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inscritos no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Edital de Chamamento Público nº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4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/2026, referente ao Projeto Segunda Musical, quem se enquadre nas vedações e nos limites à participação previstos no § 6º do art. 10 da Lei Federal nº</w:t>
            </w:r>
            <w:r>
              <w:rPr>
                <w:rFonts w:ascii="Calibri" w:hAnsi="Calibri"/>
                <w:b w:val="false"/>
                <w:bCs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14.903/24 e dispostos, por correspondência, no item 10.13</w:t>
            </w:r>
            <w:r>
              <w:rPr>
                <w:rFonts w:ascii="Calibri" w:hAnsi="Calibri"/>
                <w:b w:val="false"/>
                <w:bCs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do referido Edital de Chamamento Público.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Assinatura</w:t>
            </w:r>
          </w:p>
          <w:p>
            <w:pPr>
              <w:pStyle w:val="Contedodatabela"/>
              <w:widowControl w:val="false"/>
              <w:spacing w:lineRule="auto" w:line="276" w:before="0" w:after="120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 w:val="false"/>
                <w:smallCaps w:val="false"/>
                <w:sz w:val="18"/>
                <w:szCs w:val="18"/>
                <w:shd w:fill="DDDDDD" w:val="clear"/>
              </w:rPr>
              <w:t>Cidade</w:t>
            </w:r>
            <w:r>
              <w:rPr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iCs w:val="false"/>
                <w:caps w:val="false"/>
                <w:smallCaps w:val="false"/>
                <w:sz w:val="18"/>
                <w:szCs w:val="18"/>
                <w:shd w:fill="DDDDDD" w:val="clear"/>
              </w:rPr>
              <w:t>XX</w:t>
            </w:r>
            <w:r>
              <w:rPr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 de </w:t>
            </w:r>
            <w:r>
              <w:rPr>
                <w:rFonts w:ascii="Calibri" w:hAnsi="Calibri"/>
                <w:b/>
                <w:bCs/>
                <w:i w:val="false"/>
                <w:iCs w:val="false"/>
                <w:caps w:val="false"/>
                <w:smallCaps w:val="false"/>
                <w:sz w:val="18"/>
                <w:szCs w:val="18"/>
                <w:shd w:fill="DDDDDD" w:val="clear"/>
              </w:rPr>
              <w:t>nome do mês</w:t>
            </w:r>
            <w:r>
              <w:rPr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 de 2026.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0" w:footer="1134" w:bottom="19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/>
    </w:pPr>
    <w:r>
      <w:rPr>
        <w:rFonts w:ascii="Calibri" w:hAnsi="Calibri"/>
        <w:b/>
        <w:bCs/>
        <w:sz w:val="16"/>
        <w:szCs w:val="16"/>
      </w:rPr>
      <w:t xml:space="preserve">DIRETORIA DE COMUNICAÇÃO INSTITUCIONAL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right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/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EDITAL Nº 4/2026 – PROJETO SEGUNDA MUSICAL – ANEXO X – </w:t>
    </w:r>
    <w:r>
      <w:rPr>
        <w:rFonts w:ascii="Calibri" w:hAnsi="Calibri"/>
        <w:b/>
        <w:bCs/>
        <w:sz w:val="12"/>
        <w:szCs w:val="12"/>
      </w:rPr>
      <w:t xml:space="preserve">DECLARAÇÃO </w:t>
    </w:r>
    <w:r>
      <w:rPr>
        <w:rFonts w:ascii="Calibri" w:hAnsi="Calibri"/>
        <w:b/>
        <w:bCs/>
        <w:sz w:val="12"/>
        <w:szCs w:val="12"/>
      </w:rPr>
      <w:t>NEGATIVA DE ENQUADRAMENTO</w:t>
    </w:r>
    <w:r>
      <w:rPr>
        <w:rFonts w:ascii="Calibri" w:hAnsi="Calibri"/>
        <w:b w:val="false"/>
        <w:bCs w:val="false"/>
        <w:sz w:val="12"/>
        <w:szCs w:val="12"/>
      </w:rPr>
      <w:t xml:space="preserve"> – </w:t>
    </w:r>
    <w:r>
      <w:rPr>
        <w:rStyle w:val="Nfaseforte"/>
        <w:rFonts w:ascii="Calibri" w:hAnsi="Calibri"/>
        <w:b w:val="false"/>
        <w:i w:val="false"/>
        <w:caps w:val="false"/>
        <w:smallCaps w:val="false"/>
        <w:color w:val="000000"/>
        <w:spacing w:val="0"/>
        <w:sz w:val="12"/>
        <w:szCs w:val="12"/>
        <w:shd w:fill="FFFFFF" w:val="clear"/>
      </w:rPr>
      <w:t>Art. 10, § 6º, da Lei Federal nº 14.903, de 2024.</w:t>
    </w:r>
  </w:p>
</w:hdr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111</TotalTime>
  <Application>LibreOffice/7.3.6.2$Windows_X86_64 LibreOffice_project/c28ca90fd6e1a19e189fc16c05f8f8924961e12e</Application>
  <AppVersion>15.0000</AppVersion>
  <Pages>1</Pages>
  <Words>239</Words>
  <Characters>1316</Characters>
  <CharactersWithSpaces>1552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2026-02-13T14:40:03Z</dcterms:created>
  <dc:creator/>
  <dc:description/>
  <dc:language>pt-BR</dc:language>
  <cp:lastModifiedBy/>
  <dcterms:modified xsi:type="dcterms:W3CDTF">2026-02-25T17:44:27Z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